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rPr>
          <w:rFonts w:ascii="Arial" w:cs="Arial" w:eastAsia="Arial" w:hAnsi="Arial"/>
          <w:b w:val="1"/>
          <w:color w:val="000000"/>
          <w:sz w:val="24"/>
          <w:szCs w:val="24"/>
        </w:rPr>
      </w:pPr>
      <w:bookmarkStart w:colFirst="0" w:colLast="0" w:name="_gjdgxs" w:id="0"/>
      <w:bookmarkEnd w:id="0"/>
      <w:r w:rsidDel="00000000" w:rsidR="00000000" w:rsidRPr="00000000">
        <w:rPr>
          <w:rFonts w:ascii="Arial" w:cs="Arial" w:eastAsia="Arial" w:hAnsi="Arial"/>
          <w:b w:val="1"/>
          <w:color w:val="000000"/>
          <w:sz w:val="24"/>
          <w:szCs w:val="24"/>
          <w:rtl w:val="0"/>
        </w:rPr>
        <w:t xml:space="preserve">Call-Off Schedule 8 (Corporate Resolution Planning)</w:t>
      </w:r>
    </w:p>
    <w:p w:rsidR="00000000" w:rsidDel="00000000" w:rsidP="00000000" w:rsidRDefault="00000000" w:rsidRPr="00000000" w14:paraId="00000002">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567" w:right="0" w:hanging="567"/>
        <w:jc w:val="left"/>
        <w:rPr>
          <w:rFonts w:ascii="Arial" w:cs="Arial" w:eastAsia="Arial" w:hAnsi="Arial"/>
          <w:b w:val="1"/>
          <w:i w:val="0"/>
          <w:smallCaps w:val="1"/>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567" w:right="0" w:firstLine="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240" w:before="0" w:line="240" w:lineRule="auto"/>
        <w:ind w:left="567" w:right="0" w:hanging="567"/>
        <w:jc w:val="left"/>
        <w:rPr>
          <w:rFonts w:ascii="Arial" w:cs="Arial" w:eastAsia="Arial" w:hAnsi="Arial"/>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476.0" w:type="dxa"/>
        <w:jc w:val="left"/>
        <w:tblInd w:w="704.0" w:type="dxa"/>
        <w:tblLayout w:type="fixed"/>
        <w:tblLook w:val="0400"/>
      </w:tblPr>
      <w:tblGrid>
        <w:gridCol w:w="3401"/>
        <w:gridCol w:w="5075"/>
        <w:tblGridChange w:id="0">
          <w:tblGrid>
            <w:gridCol w:w="3401"/>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"Accounting Reference Date"</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“Annual Revenue”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figures for accounting periods of other than 12 months should be scaled pro rata to produce a proforma figure for a 12 month period; and</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"Assurance”</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"Cabinet Office Markets and Suppliers Team"</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“Class 1 Transaction”</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w:t>
            </w:r>
          </w:p>
          <w:p w:rsidR="00000000" w:rsidDel="00000000" w:rsidP="00000000" w:rsidRDefault="00000000" w:rsidRPr="00000000" w14:paraId="00000017">
            <w:pPr>
              <w:numPr>
                <w:ilvl w:val="3"/>
                <w:numId w:val="1"/>
              </w:numPr>
              <w:pBdr>
                <w:top w:space="0" w:sz="0" w:val="nil"/>
                <w:left w:space="0" w:sz="0" w:val="nil"/>
                <w:bottom w:space="0" w:sz="0" w:val="nil"/>
                <w:right w:space="0" w:sz="0" w:val="nil"/>
                <w:between w:space="0" w:sz="0" w:val="nil"/>
              </w:pBdr>
              <w:spacing w:after="0" w:before="100" w:line="240" w:lineRule="auto"/>
              <w:ind w:left="605" w:hanging="605"/>
              <w:rPr>
                <w:sz w:val="24"/>
                <w:szCs w:val="24"/>
              </w:rPr>
            </w:pPr>
            <w:r w:rsidDel="00000000" w:rsidR="00000000" w:rsidRPr="00000000">
              <w:rPr>
                <w:rFonts w:ascii="Arial" w:cs="Arial" w:eastAsia="Arial" w:hAnsi="Arial"/>
                <w:color w:val="000000"/>
                <w:sz w:val="24"/>
                <w:szCs w:val="24"/>
                <w:rtl w:val="0"/>
              </w:rPr>
              <w:t xml:space="preserve">any change of Control of the Supplier or a Parent Undertaking of the Supplier;</w:t>
            </w:r>
            <w:r w:rsidDel="00000000" w:rsidR="00000000" w:rsidRPr="00000000">
              <w:rPr>
                <w:rtl w:val="0"/>
              </w:rPr>
            </w:r>
          </w:p>
          <w:p w:rsidR="00000000" w:rsidDel="00000000" w:rsidP="00000000" w:rsidRDefault="00000000" w:rsidRPr="00000000" w14:paraId="00000018">
            <w:pPr>
              <w:numPr>
                <w:ilvl w:val="3"/>
                <w:numId w:val="1"/>
              </w:numPr>
              <w:pBdr>
                <w:top w:space="0" w:sz="0" w:val="nil"/>
                <w:left w:space="0" w:sz="0" w:val="nil"/>
                <w:bottom w:space="0" w:sz="0" w:val="nil"/>
                <w:right w:space="0" w:sz="0" w:val="nil"/>
                <w:between w:space="0" w:sz="0" w:val="nil"/>
              </w:pBdr>
              <w:spacing w:after="0" w:line="240" w:lineRule="auto"/>
              <w:ind w:left="605" w:hanging="605"/>
              <w:rPr>
                <w:sz w:val="24"/>
                <w:szCs w:val="24"/>
              </w:rPr>
            </w:pPr>
            <w:r w:rsidDel="00000000" w:rsidR="00000000" w:rsidRPr="00000000">
              <w:rPr>
                <w:rFonts w:ascii="Arial" w:cs="Arial" w:eastAsia="Arial" w:hAnsi="Arial"/>
                <w:color w:val="000000"/>
                <w:sz w:val="24"/>
                <w:szCs w:val="24"/>
                <w:rtl w:val="0"/>
              </w:rPr>
              <w:t xml:space="preserve">any change of Control of any member of the Supplier Group which, in the reasonable opinion of the Buyer, could have a material adverse effect on the Deliverables; </w:t>
            </w:r>
            <w:r w:rsidDel="00000000" w:rsidR="00000000" w:rsidRPr="00000000">
              <w:rPr>
                <w:rtl w:val="0"/>
              </w:rPr>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spacing w:after="0" w:line="240" w:lineRule="auto"/>
              <w:ind w:left="605" w:hanging="605"/>
              <w:rPr>
                <w:sz w:val="24"/>
                <w:szCs w:val="24"/>
              </w:rPr>
            </w:pPr>
            <w:r w:rsidDel="00000000" w:rsidR="00000000" w:rsidRPr="00000000">
              <w:rPr>
                <w:rFonts w:ascii="Arial" w:cs="Arial" w:eastAsia="Arial" w:hAnsi="Arial"/>
                <w:color w:val="000000"/>
                <w:sz w:val="24"/>
                <w:szCs w:val="24"/>
                <w:rtl w:val="0"/>
              </w:rPr>
              <w:t xml:space="preserve">any change to the business of the Supplier or any member of the Supplier Group which, in the reasonable opinion of the Buyer, could have a material adverse effect on the Deliverables;</w:t>
            </w:r>
            <w:r w:rsidDel="00000000" w:rsidR="00000000" w:rsidRPr="00000000">
              <w:rPr>
                <w:rtl w:val="0"/>
              </w:rPr>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spacing w:after="0" w:line="240" w:lineRule="auto"/>
              <w:ind w:left="605" w:hanging="605"/>
              <w:rPr>
                <w:sz w:val="24"/>
                <w:szCs w:val="24"/>
              </w:rPr>
            </w:pPr>
            <w:r w:rsidDel="00000000" w:rsidR="00000000" w:rsidRPr="00000000">
              <w:rPr>
                <w:rFonts w:ascii="Arial" w:cs="Arial" w:eastAsia="Arial" w:hAnsi="Arial"/>
                <w:color w:val="000000"/>
                <w:sz w:val="24"/>
                <w:szCs w:val="24"/>
                <w:rtl w:val="0"/>
              </w:rPr>
              <w:t xml:space="preserve">a Class 1 Transaction taking place in relation to the shares of the Supplier or any Parent Undertaking of the Supplier whose shares are listed on the main market of the London Stock Exchange plc;</w:t>
            </w:r>
            <w:r w:rsidDel="00000000" w:rsidR="00000000" w:rsidRPr="00000000">
              <w:rPr>
                <w:rtl w:val="0"/>
              </w:rPr>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spacing w:after="0" w:line="240" w:lineRule="auto"/>
              <w:ind w:left="605" w:hanging="605"/>
              <w:rPr>
                <w:sz w:val="24"/>
                <w:szCs w:val="24"/>
              </w:rPr>
            </w:pPr>
            <w:r w:rsidDel="00000000" w:rsidR="00000000" w:rsidRPr="00000000">
              <w:rPr>
                <w:rFonts w:ascii="Arial" w:cs="Arial" w:eastAsia="Arial" w:hAnsi="Arial"/>
                <w:color w:val="000000"/>
                <w:sz w:val="24"/>
                <w:szCs w:val="24"/>
                <w:rtl w:val="0"/>
              </w:rPr>
              <w:t xml:space="preserve">an event that could reasonably be regarded as being equivalent to a Class 1 Transaction taking place in respect of the Supplier or any Parent Undertaking of the Supplier;</w:t>
            </w:r>
            <w:r w:rsidDel="00000000" w:rsidR="00000000" w:rsidRPr="00000000">
              <w:rPr>
                <w:rtl w:val="0"/>
              </w:rPr>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spacing w:after="0" w:line="240" w:lineRule="auto"/>
              <w:ind w:left="605" w:hanging="605"/>
              <w:rPr>
                <w:sz w:val="24"/>
                <w:szCs w:val="24"/>
              </w:rPr>
            </w:pPr>
            <w:r w:rsidDel="00000000" w:rsidR="00000000" w:rsidRPr="00000000">
              <w:rPr>
                <w:rFonts w:ascii="Arial" w:cs="Arial" w:eastAsia="Arial" w:hAnsi="Arial"/>
                <w:color w:val="000000"/>
                <w:sz w:val="24"/>
                <w:szCs w:val="24"/>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r w:rsidDel="00000000" w:rsidR="00000000" w:rsidRPr="00000000">
              <w:rPr>
                <w:rtl w:val="0"/>
              </w:rPr>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spacing w:after="0" w:line="240" w:lineRule="auto"/>
              <w:ind w:left="605" w:hanging="605"/>
              <w:rPr>
                <w:sz w:val="24"/>
                <w:szCs w:val="24"/>
              </w:rPr>
            </w:pPr>
            <w:r w:rsidDel="00000000" w:rsidR="00000000" w:rsidRPr="00000000">
              <w:rPr>
                <w:rFonts w:ascii="Arial" w:cs="Arial" w:eastAsia="Arial" w:hAnsi="Arial"/>
                <w:color w:val="000000"/>
                <w:sz w:val="24"/>
                <w:szCs w:val="24"/>
                <w:rtl w:val="0"/>
              </w:rPr>
              <w:t xml:space="preserve">an order is made or an effective resolution is passed for the winding up of any member of the Supplier Group; </w:t>
            </w:r>
            <w:r w:rsidDel="00000000" w:rsidR="00000000" w:rsidRPr="00000000">
              <w:rPr>
                <w:rtl w:val="0"/>
              </w:rPr>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spacing w:after="0" w:line="240" w:lineRule="auto"/>
              <w:ind w:left="605" w:hanging="605"/>
              <w:rPr>
                <w:sz w:val="24"/>
                <w:szCs w:val="24"/>
              </w:rPr>
            </w:pPr>
            <w:r w:rsidDel="00000000" w:rsidR="00000000" w:rsidRPr="00000000">
              <w:rPr>
                <w:rFonts w:ascii="Arial" w:cs="Arial" w:eastAsia="Arial" w:hAnsi="Arial"/>
                <w:color w:val="000000"/>
                <w:sz w:val="24"/>
                <w:szCs w:val="24"/>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r w:rsidDel="00000000" w:rsidR="00000000" w:rsidRPr="00000000">
              <w:rPr>
                <w:rtl w:val="0"/>
              </w:rPr>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spacing w:after="0" w:line="240" w:lineRule="auto"/>
              <w:ind w:left="605" w:hanging="605"/>
              <w:rPr>
                <w:sz w:val="24"/>
                <w:szCs w:val="24"/>
              </w:rPr>
            </w:pPr>
            <w:r w:rsidDel="00000000" w:rsidR="00000000" w:rsidRPr="00000000">
              <w:rPr>
                <w:rFonts w:ascii="Arial" w:cs="Arial" w:eastAsia="Arial" w:hAnsi="Arial"/>
                <w:color w:val="000000"/>
                <w:sz w:val="24"/>
                <w:szCs w:val="24"/>
                <w:rtl w:val="0"/>
              </w:rPr>
              <w:t xml:space="preserve">the appointment of a receiver, administrative receiver or administrator in respect of or over all or a material part of the undertaking or assets of any member of the Supplier Group; and/or</w:t>
            </w:r>
            <w:r w:rsidDel="00000000" w:rsidR="00000000" w:rsidRPr="00000000">
              <w:rPr>
                <w:rtl w:val="0"/>
              </w:rPr>
            </w:r>
          </w:p>
          <w:p w:rsidR="00000000" w:rsidDel="00000000" w:rsidP="00000000" w:rsidRDefault="00000000" w:rsidRPr="00000000" w14:paraId="00000020">
            <w:pPr>
              <w:numPr>
                <w:ilvl w:val="3"/>
                <w:numId w:val="1"/>
              </w:numPr>
              <w:pBdr>
                <w:top w:space="0" w:sz="0" w:val="nil"/>
                <w:left w:space="0" w:sz="0" w:val="nil"/>
                <w:bottom w:space="0" w:sz="0" w:val="nil"/>
                <w:right w:space="0" w:sz="0" w:val="nil"/>
                <w:between w:space="0" w:sz="0" w:val="nil"/>
              </w:pBdr>
              <w:spacing w:line="240" w:lineRule="auto"/>
              <w:ind w:left="605" w:hanging="605"/>
              <w:rPr>
                <w:sz w:val="24"/>
                <w:szCs w:val="24"/>
              </w:rPr>
            </w:pPr>
            <w:r w:rsidDel="00000000" w:rsidR="00000000" w:rsidRPr="00000000">
              <w:rPr>
                <w:rFonts w:ascii="Arial" w:cs="Arial" w:eastAsia="Arial" w:hAnsi="Arial"/>
                <w:color w:val="000000"/>
                <w:sz w:val="24"/>
                <w:szCs w:val="24"/>
                <w:rtl w:val="0"/>
              </w:rPr>
              <w:t xml:space="preserve">any process or events with an effect analogous to those in paragraphs (e) to (g) inclusive above occurring to a member of the Supplier Group in a jurisdiction outside England and Wales;</w:t>
            </w:r>
            <w:r w:rsidDel="00000000" w:rsidR="00000000" w:rsidRPr="00000000">
              <w:rPr>
                <w:rtl w:val="0"/>
              </w:rPr>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 Grace Period"</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a grace period agreed to by the Appropriate Authority for providing CRP Information and/or updates to Business Continuity Plan after a Corporate Change Event;</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Resolvability Assessment (Structural Review)"</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part of the CRP Information relating to the Supplier Group to be provided by the Supplier in accordance with Paragraph 3 and Annex 2 of this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National Infrastructure” or “CNI”</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Service Contract”</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overall status of the Deliverables provided under the Contract as determined by the Buyer and specified in Paragraph 2 of this Schedule;</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“CRP Information”</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corporate resolution planning information, together, the:</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Exposure Information (Contracts List);</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Corporate Resolvability Assessment (Structural Review); and</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 Financial Information and Commentary;</w:t>
            </w:r>
          </w:p>
        </w:tc>
      </w:tr>
      <w:tr>
        <w:trPr>
          <w:cantSplit w:val="0"/>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Distress Event”</w:t>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any of the events listed in Paragraph 3.1 of Joint Schedule 7 (Financial Difficulties); </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Sector Dependent Supplier”</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p>
        </w:tc>
      </w:tr>
      <w:tr>
        <w:trPr>
          <w:cantSplit w:val="0"/>
          <w:trHeight w:val="567" w:hRule="atLeast"/>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“Strategic Supplier”</w:t>
            </w:r>
          </w:p>
        </w:tc>
        <w:tc>
          <w:tcPr/>
          <w:p w:rsidR="00000000" w:rsidDel="00000000" w:rsidP="00000000" w:rsidRDefault="00000000" w:rsidRPr="00000000" w14:paraId="00000035">
            <w:pPr>
              <w:tabs>
                <w:tab w:val="left" w:leader="none"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w:t>
            </w:r>
          </w:p>
          <w:p w:rsidR="00000000" w:rsidDel="00000000" w:rsidP="00000000" w:rsidRDefault="00000000" w:rsidRPr="00000000" w14:paraId="00000036">
            <w:pPr>
              <w:tabs>
                <w:tab w:val="left" w:leader="none"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https://www.gov.uk/government/publications/strategic-suppliers;</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Business”</w:t>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 CNI Contract Information”</w:t>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Annex 1.</w:t>
            </w:r>
          </w:p>
        </w:tc>
      </w:tr>
    </w:tbl>
    <w:p w:rsidR="00000000" w:rsidDel="00000000" w:rsidP="00000000" w:rsidRDefault="00000000" w:rsidRPr="00000000" w14:paraId="0000003B">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b w:val="1"/>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Status and Supplier Status</w:t>
      </w:r>
    </w:p>
    <w:p w:rsidR="00000000" w:rsidDel="00000000" w:rsidP="00000000" w:rsidRDefault="00000000" w:rsidRPr="00000000" w14:paraId="0000003C">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Contract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‘is’ or ‘is not’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Critical Service Contract.</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[Guidance: A Critical Service Contract is a service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r w:rsidDel="00000000" w:rsidR="00000000" w:rsidRPr="00000000">
        <w:rPr>
          <w:rtl w:val="0"/>
        </w:rPr>
      </w:r>
    </w:p>
    <w:p w:rsidR="00000000" w:rsidDel="00000000" w:rsidP="00000000" w:rsidRDefault="00000000" w:rsidRPr="00000000" w14:paraId="0000003E">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and the Cabinet Office Markets and Suppliers Team in writing within 5 Working Days of the Effective Date and throughout the Call-Off Contract Period within 120 days after each Accounting Reference Date as to whether or not it is a Public Sector Dependent Supplier. The contact email address for the Markets and Suppliers Team is </w:t>
      </w:r>
      <w:hyperlink r:id="rId6">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resolution.planning@cabinetoffice.gov.uk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F">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40">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Corporate Resolution Planning Information</w:t>
      </w:r>
    </w:p>
    <w:p w:rsidR="00000000" w:rsidDel="00000000" w:rsidP="00000000" w:rsidRDefault="00000000" w:rsidRPr="00000000" w14:paraId="00000041">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Paragraphs 3 to 5 shall apply if the Contract has been specified as a Critical Service Contract under Paragraph 2.1 or the Supplier is or becomes a Public Sector Dependent Supplier.</w:t>
      </w:r>
      <w:r w:rsidDel="00000000" w:rsidR="00000000" w:rsidRPr="00000000">
        <w:rPr>
          <w:rtl w:val="0"/>
        </w:rPr>
      </w:r>
    </w:p>
    <w:p w:rsidR="00000000" w:rsidDel="00000000" w:rsidP="00000000" w:rsidRDefault="00000000" w:rsidRPr="00000000" w14:paraId="00000042">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3.6, 3.10 and 3.11:</w:t>
      </w:r>
      <w:r w:rsidDel="00000000" w:rsidR="00000000" w:rsidRPr="00000000">
        <w:rPr>
          <w:rtl w:val="0"/>
        </w:rPr>
      </w:r>
    </w:p>
    <w:p w:rsidR="00000000" w:rsidDel="00000000" w:rsidP="00000000" w:rsidRDefault="00000000" w:rsidRPr="00000000" w14:paraId="00000043">
      <w:pPr>
        <w:keepNext w:val="1"/>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Contract is a Critical Service Contract, the Supplier shall provide the Appropriate Authority or Appropriate Authorities with the CRP Information within 60 days of the Effective Date; and</w:t>
      </w:r>
    </w:p>
    <w:p w:rsidR="00000000" w:rsidDel="00000000" w:rsidP="00000000" w:rsidRDefault="00000000" w:rsidRPr="00000000" w14:paraId="00000044">
      <w:pPr>
        <w:keepNext w:val="1"/>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45">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CRP Information provided pursuant to Paragraphs 3.2, 3.8 and 3.9:</w:t>
      </w:r>
      <w:r w:rsidDel="00000000" w:rsidR="00000000" w:rsidRPr="00000000">
        <w:rPr>
          <w:rtl w:val="0"/>
        </w:rPr>
      </w:r>
    </w:p>
    <w:p w:rsidR="00000000" w:rsidDel="00000000" w:rsidP="00000000" w:rsidRDefault="00000000" w:rsidRPr="00000000" w14:paraId="00000046">
      <w:pPr>
        <w:keepNext w:val="1"/>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full, comprehensive, accurate and up to date;</w:t>
      </w:r>
    </w:p>
    <w:p w:rsidR="00000000" w:rsidDel="00000000" w:rsidP="00000000" w:rsidRDefault="00000000" w:rsidRPr="00000000" w14:paraId="00000047">
      <w:pPr>
        <w:keepNext w:val="1"/>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split into three parts:</w:t>
      </w:r>
    </w:p>
    <w:p w:rsidR="00000000" w:rsidDel="00000000" w:rsidP="00000000" w:rsidRDefault="00000000" w:rsidRPr="00000000" w14:paraId="00000048">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jc w:val="both"/>
        <w:rPr>
          <w:sz w:val="24"/>
          <w:szCs w:val="24"/>
        </w:rPr>
      </w:pPr>
      <w:r w:rsidDel="00000000" w:rsidR="00000000" w:rsidRPr="00000000">
        <w:rPr>
          <w:rFonts w:ascii="Arial" w:cs="Arial" w:eastAsia="Arial" w:hAnsi="Arial"/>
          <w:color w:val="000000"/>
          <w:sz w:val="24"/>
          <w:szCs w:val="24"/>
          <w:rtl w:val="0"/>
        </w:rPr>
        <w:t xml:space="preserve">Exposure Information (Contracts List);</w:t>
      </w:r>
      <w:r w:rsidDel="00000000" w:rsidR="00000000" w:rsidRPr="00000000">
        <w:rPr>
          <w:rtl w:val="0"/>
        </w:rPr>
      </w:r>
    </w:p>
    <w:p w:rsidR="00000000" w:rsidDel="00000000" w:rsidP="00000000" w:rsidRDefault="00000000" w:rsidRPr="00000000" w14:paraId="00000049">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jc w:val="both"/>
        <w:rPr>
          <w:sz w:val="24"/>
          <w:szCs w:val="24"/>
        </w:rPr>
      </w:pPr>
      <w:r w:rsidDel="00000000" w:rsidR="00000000" w:rsidRPr="00000000">
        <w:rPr>
          <w:rFonts w:ascii="Arial" w:cs="Arial" w:eastAsia="Arial" w:hAnsi="Arial"/>
          <w:color w:val="000000"/>
          <w:sz w:val="24"/>
          <w:szCs w:val="24"/>
          <w:rtl w:val="0"/>
        </w:rPr>
        <w:t xml:space="preserve">Corporate Resolvability Assessment (Structural Review);</w:t>
      </w:r>
      <w:r w:rsidDel="00000000" w:rsidR="00000000" w:rsidRPr="00000000">
        <w:rPr>
          <w:rtl w:val="0"/>
        </w:rPr>
      </w:r>
    </w:p>
    <w:p w:rsidR="00000000" w:rsidDel="00000000" w:rsidP="00000000" w:rsidRDefault="00000000" w:rsidRPr="00000000" w14:paraId="0000004A">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jc w:val="both"/>
        <w:rPr>
          <w:sz w:val="24"/>
          <w:szCs w:val="24"/>
        </w:rPr>
      </w:pPr>
      <w:r w:rsidDel="00000000" w:rsidR="00000000" w:rsidRPr="00000000">
        <w:rPr>
          <w:rFonts w:ascii="Arial" w:cs="Arial" w:eastAsia="Arial" w:hAnsi="Arial"/>
          <w:color w:val="000000"/>
          <w:sz w:val="24"/>
          <w:szCs w:val="24"/>
          <w:rtl w:val="0"/>
        </w:rPr>
        <w:t xml:space="preserve"> Financial Information and Commentary</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7">
        <w:r w:rsidDel="00000000" w:rsidR="00000000" w:rsidRPr="00000000">
          <w:rPr>
            <w:rFonts w:ascii="Arial" w:cs="Arial" w:eastAsia="Arial" w:hAnsi="Arial"/>
            <w:color w:val="0000ff"/>
            <w:sz w:val="24"/>
            <w:szCs w:val="24"/>
            <w:u w:val="single"/>
            <w:rtl w:val="0"/>
          </w:rPr>
          <w:t xml:space="preserve">https://www.gov.uk/government/publications/the-sourcing-and-consultancy-playbooks</w:t>
        </w:r>
      </w:hyperlink>
      <w:r w:rsidDel="00000000" w:rsidR="00000000" w:rsidRPr="00000000">
        <w:rPr>
          <w:rFonts w:ascii="Arial" w:cs="Arial" w:eastAsia="Arial" w:hAnsi="Arial"/>
          <w:color w:val="000000"/>
          <w:sz w:val="24"/>
          <w:szCs w:val="24"/>
          <w:rtl w:val="0"/>
        </w:rPr>
        <w:t xml:space="preserve"> and contains the level of detail required (adapted as necessary to the Supplier’s circumstances);</w:t>
      </w:r>
    </w:p>
    <w:p w:rsidR="00000000" w:rsidDel="00000000" w:rsidP="00000000" w:rsidRDefault="00000000" w:rsidRPr="00000000" w14:paraId="0000004C">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4D">
      <w:pPr>
        <w:keepNext w:val="1"/>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4E">
      <w:pPr>
        <w:keepNext w:val="1"/>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the requirements set out at Annex 1 (Exposure Information (Contracts List)), Annex 2 (Corporate Resolvability Assessment (Structural Review)) and Annex 3 (Financial Information and Commentary) respectively.</w:t>
      </w:r>
    </w:p>
    <w:p w:rsidR="00000000" w:rsidDel="00000000" w:rsidP="00000000" w:rsidRDefault="00000000" w:rsidRPr="00000000" w14:paraId="0000004F">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by the Appropriate Authority or Appropriate Authorities of the CRP Information pursuant to Paragraphs 3.2, 3.8 and 3.9,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r w:rsidDel="00000000" w:rsidR="00000000" w:rsidRPr="00000000">
        <w:rPr>
          <w:rtl w:val="0"/>
        </w:rPr>
      </w:r>
    </w:p>
    <w:p w:rsidR="00000000" w:rsidDel="00000000" w:rsidP="00000000" w:rsidRDefault="00000000" w:rsidRPr="00000000" w14:paraId="00000050">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Appropriate Authority or Appropriate Authorities reject the CRP Information:</w:t>
      </w:r>
      <w:r w:rsidDel="00000000" w:rsidR="00000000" w:rsidRPr="00000000">
        <w:rPr>
          <w:rtl w:val="0"/>
        </w:rPr>
      </w:r>
    </w:p>
    <w:p w:rsidR="00000000" w:rsidDel="00000000" w:rsidP="00000000" w:rsidRDefault="00000000" w:rsidRPr="00000000" w14:paraId="00000051">
      <w:pPr>
        <w:keepNext w:val="1"/>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52">
      <w:pPr>
        <w:keepNext w:val="1"/>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53">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or a member of the Supplier Group has already provided CRP Information to a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Central Government Body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the Cabinet Office Markets and Suppliers Team (or, in the case of a Strategic Supplier, solely to the Cabinet Office Markets and Suppliers Team) and has received an Assurance of its CRP Information from that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Central Government Body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r w:rsidDel="00000000" w:rsidR="00000000" w:rsidRPr="00000000">
        <w:rPr>
          <w:rtl w:val="0"/>
        </w:rPr>
      </w:r>
    </w:p>
    <w:p w:rsidR="00000000" w:rsidDel="00000000" w:rsidP="00000000" w:rsidRDefault="00000000" w:rsidRPr="00000000" w14:paraId="00000054">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Assurance shall be deemed Valid for the purposes of Paragraph 3.6 if:</w:t>
      </w:r>
      <w:r w:rsidDel="00000000" w:rsidR="00000000" w:rsidRPr="00000000">
        <w:rPr>
          <w:rtl w:val="0"/>
        </w:rPr>
      </w:r>
    </w:p>
    <w:p w:rsidR="00000000" w:rsidDel="00000000" w:rsidP="00000000" w:rsidRDefault="00000000" w:rsidRPr="00000000" w14:paraId="00000055">
      <w:pPr>
        <w:keepNext w:val="1"/>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56">
      <w:pPr>
        <w:keepNext w:val="1"/>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Change of Control or Financial Distress Events (or events which would be deemed to be Change of Control or Financial Distress Events if the Contract had then been in force) have occurred since the date of issue of the Assurance.</w:t>
      </w:r>
    </w:p>
    <w:p w:rsidR="00000000" w:rsidDel="00000000" w:rsidP="00000000" w:rsidRDefault="00000000" w:rsidRPr="00000000" w14:paraId="00000057">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a Critical Service Contract, the Supplier shall provide an updated version of the CRP Information (or, in the case of Paragraph 3.8.3 of its initial CRP Information) to the Appropriate Authority or Appropriate Authorities:</w:t>
      </w:r>
      <w:r w:rsidDel="00000000" w:rsidR="00000000" w:rsidRPr="00000000">
        <w:rPr>
          <w:rtl w:val="0"/>
        </w:rPr>
      </w:r>
    </w:p>
    <w:p w:rsidR="00000000" w:rsidDel="00000000" w:rsidP="00000000" w:rsidRDefault="00000000" w:rsidRPr="00000000" w14:paraId="00000058">
      <w:pPr>
        <w:keepNext w:val="1"/>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(Financial Difficulties) (if applicable);</w:t>
      </w:r>
    </w:p>
    <w:p w:rsidR="00000000" w:rsidDel="00000000" w:rsidP="00000000" w:rsidRDefault="00000000" w:rsidRPr="00000000" w14:paraId="00000059">
      <w:pPr>
        <w:keepNext w:val="1"/>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30 days of a Corporate Change Event unless</w:t>
      </w:r>
    </w:p>
    <w:p w:rsidR="00000000" w:rsidDel="00000000" w:rsidP="00000000" w:rsidRDefault="00000000" w:rsidRPr="00000000" w14:paraId="0000005A">
      <w:pPr>
        <w:keepNext w:val="1"/>
        <w:numPr>
          <w:ilvl w:val="3"/>
          <w:numId w:val="5"/>
        </w:numPr>
        <w:pBdr>
          <w:top w:space="0" w:sz="0" w:val="nil"/>
          <w:left w:space="0" w:sz="0" w:val="nil"/>
          <w:bottom w:space="0" w:sz="0" w:val="nil"/>
          <w:right w:space="0" w:sz="0" w:val="nil"/>
          <w:between w:space="0" w:sz="0" w:val="nil"/>
        </w:pBdr>
        <w:spacing w:after="120" w:before="120" w:lineRule="auto"/>
        <w:ind w:left="2268" w:hanging="850"/>
        <w:rPr>
          <w:sz w:val="24"/>
          <w:szCs w:val="24"/>
        </w:rPr>
      </w:pPr>
      <w:r w:rsidDel="00000000" w:rsidR="00000000" w:rsidRPr="00000000">
        <w:rPr>
          <w:rFonts w:ascii="Arial" w:cs="Arial" w:eastAsia="Arial" w:hAnsi="Arial"/>
          <w:sz w:val="24"/>
          <w:szCs w:val="24"/>
          <w:rtl w:val="0"/>
        </w:rPr>
        <w:t xml:space="preserve">the Supplier requests and the Appropriate Authority (acting reasonably) agrees to a </w:t>
      </w:r>
      <w:r w:rsidDel="00000000" w:rsidR="00000000" w:rsidRPr="00000000">
        <w:rPr>
          <w:rFonts w:ascii="Arial" w:cs="Arial" w:eastAsia="Arial" w:hAnsi="Arial"/>
          <w:sz w:val="24"/>
          <w:szCs w:val="24"/>
          <w:highlight w:val="yellow"/>
          <w:rtl w:val="0"/>
        </w:rPr>
        <w:t xml:space="preserve">Corporate Change Event Grace Period</w:t>
      </w:r>
      <w:r w:rsidDel="00000000" w:rsidR="00000000" w:rsidRPr="00000000">
        <w:rPr>
          <w:rFonts w:ascii="Arial" w:cs="Arial" w:eastAsia="Arial" w:hAnsi="Arial"/>
          <w:sz w:val="24"/>
          <w:szCs w:val="24"/>
          <w:rtl w:val="0"/>
        </w:rPr>
        <w:t xml:space="preserve">, in the event of which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or</w:t>
      </w:r>
      <w:r w:rsidDel="00000000" w:rsidR="00000000" w:rsidRPr="00000000">
        <w:rPr>
          <w:rtl w:val="0"/>
        </w:rPr>
      </w:r>
    </w:p>
    <w:p w:rsidR="00000000" w:rsidDel="00000000" w:rsidP="00000000" w:rsidRDefault="00000000" w:rsidRPr="00000000" w14:paraId="0000005B">
      <w:pPr>
        <w:keepNext w:val="1"/>
        <w:numPr>
          <w:ilvl w:val="3"/>
          <w:numId w:val="5"/>
        </w:numPr>
        <w:pBdr>
          <w:top w:space="0" w:sz="0" w:val="nil"/>
          <w:left w:space="0" w:sz="0" w:val="nil"/>
          <w:bottom w:space="0" w:sz="0" w:val="nil"/>
          <w:right w:space="0" w:sz="0" w:val="nil"/>
          <w:between w:space="0" w:sz="0" w:val="nil"/>
        </w:pBdr>
        <w:spacing w:after="120" w:before="120" w:lineRule="auto"/>
        <w:ind w:left="2268" w:hanging="850"/>
        <w:rPr>
          <w:sz w:val="24"/>
          <w:szCs w:val="24"/>
        </w:rPr>
      </w:pPr>
      <w:r w:rsidDel="00000000" w:rsidR="00000000" w:rsidRPr="00000000">
        <w:rPr>
          <w:rFonts w:ascii="Arial" w:cs="Arial" w:eastAsia="Arial" w:hAnsi="Arial"/>
          <w:sz w:val="24"/>
          <w:szCs w:val="24"/>
          <w:rtl w:val="0"/>
        </w:rPr>
        <w:t xml:space="preserve"> not required pursuant to Paragraph 3.10;</w:t>
      </w:r>
      <w:r w:rsidDel="00000000" w:rsidR="00000000" w:rsidRPr="00000000">
        <w:rPr>
          <w:rtl w:val="0"/>
        </w:rPr>
      </w:r>
    </w:p>
    <w:p w:rsidR="00000000" w:rsidDel="00000000" w:rsidP="00000000" w:rsidRDefault="00000000" w:rsidRPr="00000000" w14:paraId="0000005C">
      <w:pPr>
        <w:keepNext w:val="1"/>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30 days of the date that:</w:t>
      </w:r>
    </w:p>
    <w:p w:rsidR="00000000" w:rsidDel="00000000" w:rsidP="00000000" w:rsidRDefault="00000000" w:rsidRPr="00000000" w14:paraId="0000005D">
      <w:pPr>
        <w:keepNext w:val="1"/>
        <w:numPr>
          <w:ilvl w:val="3"/>
          <w:numId w:val="8"/>
        </w:numPr>
        <w:pBdr>
          <w:top w:space="0" w:sz="0" w:val="nil"/>
          <w:left w:space="0" w:sz="0" w:val="nil"/>
          <w:bottom w:space="0" w:sz="0" w:val="nil"/>
          <w:right w:space="0" w:sz="0" w:val="nil"/>
          <w:between w:space="0" w:sz="0" w:val="nil"/>
        </w:pBdr>
        <w:spacing w:after="120" w:before="120" w:lineRule="auto"/>
        <w:ind w:left="2268" w:hanging="850"/>
        <w:rPr>
          <w:sz w:val="24"/>
          <w:szCs w:val="24"/>
        </w:rPr>
      </w:pPr>
      <w:r w:rsidDel="00000000" w:rsidR="00000000" w:rsidRPr="00000000">
        <w:rPr>
          <w:rFonts w:ascii="Arial" w:cs="Arial" w:eastAsia="Arial" w:hAnsi="Arial"/>
          <w:color w:val="000000"/>
          <w:sz w:val="24"/>
          <w:szCs w:val="24"/>
          <w:rtl w:val="0"/>
        </w:rPr>
        <w:t xml:space="preserve">the credit rating(s) of each of the Supplier and its Parent </w:t>
      </w:r>
      <w:r w:rsidDel="00000000" w:rsidR="00000000" w:rsidRPr="00000000">
        <w:rPr>
          <w:rFonts w:ascii="Arial" w:cs="Arial" w:eastAsia="Arial" w:hAnsi="Arial"/>
          <w:sz w:val="24"/>
          <w:szCs w:val="24"/>
          <w:rtl w:val="0"/>
        </w:rPr>
        <w:t xml:space="preserve">Undertakings</w:t>
      </w:r>
      <w:r w:rsidDel="00000000" w:rsidR="00000000" w:rsidRPr="00000000">
        <w:rPr>
          <w:rFonts w:ascii="Arial" w:cs="Arial" w:eastAsia="Arial" w:hAnsi="Arial"/>
          <w:color w:val="000000"/>
          <w:sz w:val="24"/>
          <w:szCs w:val="24"/>
          <w:rtl w:val="0"/>
        </w:rPr>
        <w:t xml:space="preserve"> fail to meet </w:t>
      </w:r>
      <w:r w:rsidDel="00000000" w:rsidR="00000000" w:rsidRPr="00000000">
        <w:rPr>
          <w:rFonts w:ascii="Arial" w:cs="Arial" w:eastAsia="Arial" w:hAnsi="Arial"/>
          <w:sz w:val="24"/>
          <w:szCs w:val="24"/>
          <w:rtl w:val="0"/>
        </w:rPr>
        <w:t xml:space="preserve">any</w:t>
      </w:r>
      <w:r w:rsidDel="00000000" w:rsidR="00000000" w:rsidRPr="00000000">
        <w:rPr>
          <w:rFonts w:ascii="Arial" w:cs="Arial" w:eastAsia="Arial" w:hAnsi="Arial"/>
          <w:color w:val="000000"/>
          <w:sz w:val="24"/>
          <w:szCs w:val="24"/>
          <w:rtl w:val="0"/>
        </w:rPr>
        <w:t xml:space="preserve"> of the criteria specified in Paragraph 3.10; or</w:t>
      </w:r>
      <w:r w:rsidDel="00000000" w:rsidR="00000000" w:rsidRPr="00000000">
        <w:rPr>
          <w:rtl w:val="0"/>
        </w:rPr>
      </w:r>
    </w:p>
    <w:p w:rsidR="00000000" w:rsidDel="00000000" w:rsidP="00000000" w:rsidRDefault="00000000" w:rsidRPr="00000000" w14:paraId="0000005E">
      <w:pPr>
        <w:keepNext w:val="1"/>
        <w:numPr>
          <w:ilvl w:val="3"/>
          <w:numId w:val="8"/>
        </w:numPr>
        <w:pBdr>
          <w:top w:space="0" w:sz="0" w:val="nil"/>
          <w:left w:space="0" w:sz="0" w:val="nil"/>
          <w:bottom w:space="0" w:sz="0" w:val="nil"/>
          <w:right w:space="0" w:sz="0" w:val="nil"/>
          <w:between w:space="0" w:sz="0" w:val="nil"/>
        </w:pBdr>
        <w:spacing w:after="120" w:before="120" w:lineRule="auto"/>
        <w:ind w:left="2268" w:hanging="850"/>
        <w:rPr>
          <w:sz w:val="24"/>
          <w:szCs w:val="24"/>
        </w:rPr>
      </w:pPr>
      <w:r w:rsidDel="00000000" w:rsidR="00000000" w:rsidRPr="00000000">
        <w:rPr>
          <w:rFonts w:ascii="Arial" w:cs="Arial" w:eastAsia="Arial" w:hAnsi="Arial"/>
          <w:color w:val="000000"/>
          <w:sz w:val="24"/>
          <w:szCs w:val="24"/>
          <w:rtl w:val="0"/>
        </w:rPr>
        <w:t xml:space="preserve">none of the credit rating agencies specified at Paragraph 3.10 hold a public credit rating for the Supplier or any of its Parent Undertakings; and</w:t>
      </w:r>
      <w:r w:rsidDel="00000000" w:rsidR="00000000" w:rsidRPr="00000000">
        <w:rPr>
          <w:rtl w:val="0"/>
        </w:rPr>
      </w:r>
    </w:p>
    <w:p w:rsidR="00000000" w:rsidDel="00000000" w:rsidP="00000000" w:rsidRDefault="00000000" w:rsidRPr="00000000" w14:paraId="0000005F">
      <w:pPr>
        <w:keepNext w:val="1"/>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60">
      <w:pPr>
        <w:keepNext w:val="1"/>
        <w:numPr>
          <w:ilvl w:val="3"/>
          <w:numId w:val="9"/>
        </w:numPr>
        <w:pBdr>
          <w:top w:space="0" w:sz="0" w:val="nil"/>
          <w:left w:space="0" w:sz="0" w:val="nil"/>
          <w:bottom w:space="0" w:sz="0" w:val="nil"/>
          <w:right w:space="0" w:sz="0" w:val="nil"/>
          <w:between w:space="0" w:sz="0" w:val="nil"/>
        </w:pBdr>
        <w:spacing w:after="120" w:before="120" w:lineRule="auto"/>
        <w:ind w:left="2268" w:hanging="850"/>
        <w:rPr>
          <w:sz w:val="24"/>
          <w:szCs w:val="24"/>
        </w:rPr>
      </w:pPr>
      <w:r w:rsidDel="00000000" w:rsidR="00000000" w:rsidRPr="00000000">
        <w:rPr>
          <w:rFonts w:ascii="Arial" w:cs="Arial" w:eastAsia="Arial" w:hAnsi="Arial"/>
          <w:color w:val="000000"/>
          <w:sz w:val="24"/>
          <w:szCs w:val="24"/>
          <w:rtl w:val="0"/>
        </w:rPr>
        <w:t xml:space="preserve">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r w:rsidDel="00000000" w:rsidR="00000000" w:rsidRPr="00000000">
        <w:rPr>
          <w:rtl w:val="0"/>
        </w:rPr>
      </w:r>
    </w:p>
    <w:p w:rsidR="00000000" w:rsidDel="00000000" w:rsidP="00000000" w:rsidRDefault="00000000" w:rsidRPr="00000000" w14:paraId="00000061">
      <w:pPr>
        <w:keepNext w:val="1"/>
        <w:numPr>
          <w:ilvl w:val="3"/>
          <w:numId w:val="9"/>
        </w:numPr>
        <w:pBdr>
          <w:top w:space="0" w:sz="0" w:val="nil"/>
          <w:left w:space="0" w:sz="0" w:val="nil"/>
          <w:bottom w:space="0" w:sz="0" w:val="nil"/>
          <w:right w:space="0" w:sz="0" w:val="nil"/>
          <w:between w:space="0" w:sz="0" w:val="nil"/>
        </w:pBdr>
        <w:spacing w:after="120" w:before="120" w:lineRule="auto"/>
        <w:ind w:left="2268" w:hanging="850"/>
        <w:rPr>
          <w:sz w:val="24"/>
          <w:szCs w:val="24"/>
        </w:rPr>
      </w:pPr>
      <w:r w:rsidDel="00000000" w:rsidR="00000000" w:rsidRPr="00000000">
        <w:rPr>
          <w:rFonts w:ascii="Arial" w:cs="Arial" w:eastAsia="Arial" w:hAnsi="Arial"/>
          <w:color w:val="000000"/>
          <w:sz w:val="24"/>
          <w:szCs w:val="24"/>
          <w:rtl w:val="0"/>
        </w:rPr>
        <w:t xml:space="preserve">not required pursuant to Paragraph 3.10.</w:t>
      </w:r>
      <w:r w:rsidDel="00000000" w:rsidR="00000000" w:rsidRPr="00000000">
        <w:rPr>
          <w:rtl w:val="0"/>
        </w:rPr>
      </w:r>
    </w:p>
    <w:p w:rsidR="00000000" w:rsidDel="00000000" w:rsidP="00000000" w:rsidRDefault="00000000" w:rsidRPr="00000000" w14:paraId="00000062">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r w:rsidDel="00000000" w:rsidR="00000000" w:rsidRPr="00000000">
        <w:rPr>
          <w:rtl w:val="0"/>
        </w:rPr>
      </w:r>
    </w:p>
    <w:p w:rsidR="00000000" w:rsidDel="00000000" w:rsidP="00000000" w:rsidRDefault="00000000" w:rsidRPr="00000000" w14:paraId="00000063">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or a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Parent Undertaking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Supplier has a credit rating of either:</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Aa3 or better from Moody’s;</w:t>
      </w:r>
    </w:p>
    <w:p w:rsidR="00000000" w:rsidDel="00000000" w:rsidP="00000000" w:rsidRDefault="00000000" w:rsidRPr="00000000" w14:paraId="00000065">
      <w:pPr>
        <w:keepNext w:val="1"/>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AA- or better from Standard and Poors;</w:t>
      </w:r>
    </w:p>
    <w:p w:rsidR="00000000" w:rsidDel="00000000" w:rsidP="00000000" w:rsidRDefault="00000000" w:rsidRPr="00000000" w14:paraId="00000066">
      <w:pPr>
        <w:keepNext w:val="1"/>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AA- or better from Fitch;</w:t>
      </w:r>
    </w:p>
    <w:p w:rsidR="00000000" w:rsidDel="00000000" w:rsidP="00000000" w:rsidRDefault="00000000" w:rsidRPr="00000000" w14:paraId="0000006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not be required to provide any CRP Information unless or until either (i) a Financial Distress Event occurs (unless the Supplier is relieved of the consequences of the Financial Distress Event under Paragraph 7.1 of Joint Schedule 7 (Financial Difficulties),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68">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r w:rsidDel="00000000" w:rsidR="00000000" w:rsidRPr="00000000">
        <w:rPr>
          <w:rtl w:val="0"/>
        </w:rPr>
      </w:r>
    </w:p>
    <w:p w:rsidR="00000000" w:rsidDel="00000000" w:rsidP="00000000" w:rsidRDefault="00000000" w:rsidRPr="00000000" w14:paraId="00000069">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6A">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terminate the Contract if the Supplier is required to provide CRP Information under Paragraph 3 and either:</w:t>
      </w:r>
      <w:r w:rsidDel="00000000" w:rsidR="00000000" w:rsidRPr="00000000">
        <w:rPr>
          <w:rtl w:val="0"/>
        </w:rPr>
      </w:r>
    </w:p>
    <w:p w:rsidR="00000000" w:rsidDel="00000000" w:rsidP="00000000" w:rsidRDefault="00000000" w:rsidRPr="00000000" w14:paraId="0000006B">
      <w:pPr>
        <w:keepNext w:val="1"/>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provide the CRP Information within 4 months of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Effective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this is a Critical Service Contract or otherwise within 4 months of the Appropriate Authority’s or Appropriate Authorities’ request; or</w:t>
      </w:r>
    </w:p>
    <w:p w:rsidR="00000000" w:rsidDel="00000000" w:rsidP="00000000" w:rsidRDefault="00000000" w:rsidRPr="00000000" w14:paraId="0000006C">
      <w:pPr>
        <w:keepNext w:val="1"/>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6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6E">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Confidentiality and usage of CRP Information</w:t>
      </w:r>
    </w:p>
    <w:p w:rsidR="00000000" w:rsidDel="00000000" w:rsidP="00000000" w:rsidRDefault="00000000" w:rsidRPr="00000000" w14:paraId="0000006F">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r w:rsidDel="00000000" w:rsidR="00000000" w:rsidRPr="00000000">
        <w:rPr>
          <w:rtl w:val="0"/>
        </w:rPr>
      </w:r>
    </w:p>
    <w:p w:rsidR="00000000" w:rsidDel="00000000" w:rsidP="00000000" w:rsidRDefault="00000000" w:rsidRPr="00000000" w14:paraId="00000070">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and Clause 15 of the Core Terms.</w:t>
      </w:r>
      <w:r w:rsidDel="00000000" w:rsidR="00000000" w:rsidRPr="00000000">
        <w:rPr>
          <w:rtl w:val="0"/>
        </w:rPr>
      </w:r>
    </w:p>
    <w:p w:rsidR="00000000" w:rsidDel="00000000" w:rsidP="00000000" w:rsidRDefault="00000000" w:rsidRPr="00000000" w14:paraId="00000071">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Appropriate Authority or Appropriate Authorities entering into an appropriate confidentiality agreement in the form required by the third party.</w:t>
      </w:r>
      <w:r w:rsidDel="00000000" w:rsidR="00000000" w:rsidRPr="00000000">
        <w:rPr>
          <w:rtl w:val="0"/>
        </w:rPr>
      </w:r>
    </w:p>
    <w:p w:rsidR="00000000" w:rsidDel="00000000" w:rsidP="00000000" w:rsidRDefault="00000000" w:rsidRPr="00000000" w14:paraId="00000072">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procure consent pursuant to Paragraph 5.3, the Supplier shall use all reasonable endeavours to disclose the CRP Information to the fullest extent possible by limiting the amount of information it withholds including by:</w:t>
      </w:r>
      <w:r w:rsidDel="00000000" w:rsidR="00000000" w:rsidRPr="00000000">
        <w:rPr>
          <w:rtl w:val="0"/>
        </w:rPr>
      </w:r>
    </w:p>
    <w:p w:rsidR="00000000" w:rsidDel="00000000" w:rsidP="00000000" w:rsidRDefault="00000000" w:rsidRPr="00000000" w14:paraId="00000073">
      <w:pPr>
        <w:keepNext w:val="1"/>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redacting only those parts of the information which are subject to such obligations of confidentiality;</w:t>
      </w:r>
    </w:p>
    <w:p w:rsidR="00000000" w:rsidDel="00000000" w:rsidP="00000000" w:rsidRDefault="00000000" w:rsidRPr="00000000" w14:paraId="00000074">
      <w:pPr>
        <w:keepNext w:val="1"/>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the information in a form that does not breach its obligations of confidentiality including (where possible) by:</w:t>
      </w:r>
    </w:p>
    <w:p w:rsidR="00000000" w:rsidDel="00000000" w:rsidP="00000000" w:rsidRDefault="00000000" w:rsidRPr="00000000" w14:paraId="00000075">
      <w:pPr>
        <w:numPr>
          <w:ilvl w:val="3"/>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127" w:hanging="720"/>
        <w:jc w:val="both"/>
        <w:rPr>
          <w:sz w:val="24"/>
          <w:szCs w:val="24"/>
        </w:rPr>
      </w:pPr>
      <w:r w:rsidDel="00000000" w:rsidR="00000000" w:rsidRPr="00000000">
        <w:rPr>
          <w:rFonts w:ascii="Arial" w:cs="Arial" w:eastAsia="Arial" w:hAnsi="Arial"/>
          <w:color w:val="000000"/>
          <w:sz w:val="24"/>
          <w:szCs w:val="24"/>
          <w:rtl w:val="0"/>
        </w:rPr>
        <w:t xml:space="preserve">summarising the information;</w:t>
      </w:r>
      <w:r w:rsidDel="00000000" w:rsidR="00000000" w:rsidRPr="00000000">
        <w:rPr>
          <w:rtl w:val="0"/>
        </w:rPr>
      </w:r>
    </w:p>
    <w:p w:rsidR="00000000" w:rsidDel="00000000" w:rsidP="00000000" w:rsidRDefault="00000000" w:rsidRPr="00000000" w14:paraId="00000076">
      <w:pPr>
        <w:numPr>
          <w:ilvl w:val="3"/>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127" w:hanging="720"/>
        <w:jc w:val="both"/>
        <w:rPr>
          <w:sz w:val="24"/>
          <w:szCs w:val="24"/>
        </w:rPr>
      </w:pPr>
      <w:r w:rsidDel="00000000" w:rsidR="00000000" w:rsidRPr="00000000">
        <w:rPr>
          <w:rFonts w:ascii="Arial" w:cs="Arial" w:eastAsia="Arial" w:hAnsi="Arial"/>
          <w:color w:val="000000"/>
          <w:sz w:val="24"/>
          <w:szCs w:val="24"/>
          <w:rtl w:val="0"/>
        </w:rPr>
        <w:t xml:space="preserve">grouping the information;</w:t>
      </w:r>
      <w:r w:rsidDel="00000000" w:rsidR="00000000" w:rsidRPr="00000000">
        <w:rPr>
          <w:rtl w:val="0"/>
        </w:rPr>
      </w:r>
    </w:p>
    <w:p w:rsidR="00000000" w:rsidDel="00000000" w:rsidP="00000000" w:rsidRDefault="00000000" w:rsidRPr="00000000" w14:paraId="00000077">
      <w:pPr>
        <w:numPr>
          <w:ilvl w:val="3"/>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127" w:hanging="720"/>
        <w:jc w:val="both"/>
        <w:rPr>
          <w:sz w:val="24"/>
          <w:szCs w:val="24"/>
        </w:rPr>
      </w:pPr>
      <w:r w:rsidDel="00000000" w:rsidR="00000000" w:rsidRPr="00000000">
        <w:rPr>
          <w:rFonts w:ascii="Arial" w:cs="Arial" w:eastAsia="Arial" w:hAnsi="Arial"/>
          <w:color w:val="000000"/>
          <w:sz w:val="24"/>
          <w:szCs w:val="24"/>
          <w:rtl w:val="0"/>
        </w:rPr>
        <w:t xml:space="preserve">anonymising the information; and</w:t>
      </w:r>
      <w:r w:rsidDel="00000000" w:rsidR="00000000" w:rsidRPr="00000000">
        <w:rPr>
          <w:rtl w:val="0"/>
        </w:rPr>
      </w:r>
    </w:p>
    <w:p w:rsidR="00000000" w:rsidDel="00000000" w:rsidP="00000000" w:rsidRDefault="00000000" w:rsidRPr="00000000" w14:paraId="00000078">
      <w:pPr>
        <w:numPr>
          <w:ilvl w:val="3"/>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127" w:hanging="720"/>
        <w:jc w:val="both"/>
        <w:rPr>
          <w:sz w:val="24"/>
          <w:szCs w:val="24"/>
        </w:rPr>
      </w:pPr>
      <w:r w:rsidDel="00000000" w:rsidR="00000000" w:rsidRPr="00000000">
        <w:rPr>
          <w:rFonts w:ascii="Arial" w:cs="Arial" w:eastAsia="Arial" w:hAnsi="Arial"/>
          <w:color w:val="000000"/>
          <w:sz w:val="24"/>
          <w:szCs w:val="24"/>
          <w:rtl w:val="0"/>
        </w:rPr>
        <w:t xml:space="preserve">presenting the information in general terms</w:t>
      </w:r>
      <w:r w:rsidDel="00000000" w:rsidR="00000000" w:rsidRPr="00000000">
        <w:rPr>
          <w:rtl w:val="0"/>
        </w:rPr>
      </w:r>
    </w:p>
    <w:p w:rsidR="00000000" w:rsidDel="00000000" w:rsidP="00000000" w:rsidRDefault="00000000" w:rsidRPr="00000000" w14:paraId="00000079">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B">
      <w:pPr>
        <w:ind w:firstLine="1418"/>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300" w:before="100" w:lineRule="auto"/>
        <w:ind w:hanging="127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sz w:val="24"/>
          <w:szCs w:val="24"/>
          <w:rtl w:val="0"/>
        </w:rPr>
        <w:t xml:space="preserve">ANNEX 1</w:t>
      </w:r>
      <w:r w:rsidDel="00000000" w:rsidR="00000000" w:rsidRPr="00000000">
        <w:rPr>
          <w:rFonts w:ascii="Arial" w:cs="Arial" w:eastAsia="Arial" w:hAnsi="Arial"/>
          <w:b w:val="1"/>
          <w:smallCaps w:val="1"/>
          <w:color w:val="000000"/>
          <w:sz w:val="24"/>
          <w:szCs w:val="24"/>
          <w:rtl w:val="0"/>
        </w:rPr>
        <w:t xml:space="preserve">: EXPOSURE: CRITICAL CONTRACTS LIST</w:t>
      </w:r>
    </w:p>
    <w:p w:rsidR="00000000" w:rsidDel="00000000" w:rsidP="00000000" w:rsidRDefault="00000000" w:rsidRPr="00000000" w14:paraId="0000007D">
      <w:pPr>
        <w:numPr>
          <w:ilvl w:val="0"/>
          <w:numId w:val="3"/>
        </w:numPr>
        <w:pBdr>
          <w:top w:space="0" w:sz="0" w:val="nil"/>
          <w:left w:space="0" w:sz="0" w:val="nil"/>
          <w:bottom w:space="0" w:sz="0" w:val="nil"/>
          <w:right w:space="0" w:sz="0" w:val="nil"/>
          <w:between w:space="0" w:sz="0" w:val="nil"/>
        </w:pBdr>
        <w:tabs>
          <w:tab w:val="left" w:leader="none" w:pos="567"/>
        </w:tabs>
        <w:spacing w:after="120" w:before="12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7E">
      <w:pPr>
        <w:numPr>
          <w:ilvl w:val="1"/>
          <w:numId w:val="3"/>
        </w:numPr>
        <w:pBdr>
          <w:top w:space="0" w:sz="0" w:val="nil"/>
          <w:left w:space="0" w:sz="0" w:val="nil"/>
          <w:bottom w:space="0" w:sz="0" w:val="nil"/>
          <w:right w:space="0" w:sz="0" w:val="nil"/>
          <w:between w:space="0" w:sz="0" w:val="nil"/>
        </w:pBdr>
        <w:spacing w:after="120" w:before="12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07F">
      <w:pPr>
        <w:numPr>
          <w:ilvl w:val="3"/>
          <w:numId w:val="3"/>
        </w:numPr>
        <w:pBdr>
          <w:top w:space="0" w:sz="0" w:val="nil"/>
          <w:left w:space="0" w:sz="0" w:val="nil"/>
          <w:bottom w:space="0" w:sz="0" w:val="nil"/>
          <w:right w:space="0" w:sz="0" w:val="nil"/>
          <w:between w:space="0" w:sz="0" w:val="nil"/>
        </w:pBdr>
        <w:tabs>
          <w:tab w:val="left" w:leader="none" w:pos="720"/>
          <w:tab w:val="left" w:leader="none" w:pos="1418"/>
        </w:tabs>
        <w:spacing w:after="120" w:before="120" w:lineRule="auto"/>
        <w:ind w:left="1418" w:hanging="851"/>
        <w:rPr>
          <w:rFonts w:ascii="Arial" w:cs="Arial" w:eastAsia="Arial" w:hAnsi="Arial"/>
          <w:color w:val="000000"/>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are with any UK public sector bodies including: central Government departments and their arms-length bodies and agencies, non-departmental public bodies, NHS bodies, local buyers, health bodies, police fire and rescue, education bodies and the devolved administrations;</w:t>
      </w:r>
    </w:p>
    <w:p w:rsidR="00000000" w:rsidDel="00000000" w:rsidP="00000000" w:rsidRDefault="00000000" w:rsidRPr="00000000" w14:paraId="00000080">
      <w:pPr>
        <w:numPr>
          <w:ilvl w:val="3"/>
          <w:numId w:val="3"/>
        </w:numPr>
        <w:pBdr>
          <w:top w:space="0" w:sz="0" w:val="nil"/>
          <w:left w:space="0" w:sz="0" w:val="nil"/>
          <w:bottom w:space="0" w:sz="0" w:val="nil"/>
          <w:right w:space="0" w:sz="0" w:val="nil"/>
          <w:between w:space="0" w:sz="0" w:val="nil"/>
        </w:pBdr>
        <w:tabs>
          <w:tab w:val="left" w:leader="none" w:pos="720"/>
          <w:tab w:val="left" w:leader="none" w:pos="1418"/>
        </w:tabs>
        <w:spacing w:after="120" w:before="120" w:lineRule="auto"/>
        <w:ind w:left="1418" w:hanging="851"/>
        <w:rPr>
          <w:rFonts w:ascii="Arial" w:cs="Arial" w:eastAsia="Arial" w:hAnsi="Arial"/>
          <w:color w:val="000000"/>
          <w:sz w:val="24"/>
          <w:szCs w:val="24"/>
        </w:rPr>
      </w:pPr>
      <w:bookmarkStart w:colFirst="0" w:colLast="0" w:name="_tyjcwt" w:id="5"/>
      <w:bookmarkEnd w:id="5"/>
      <w:r w:rsidDel="00000000" w:rsidR="00000000" w:rsidRPr="00000000">
        <w:rPr>
          <w:rFonts w:ascii="Arial" w:cs="Arial" w:eastAsia="Arial" w:hAnsi="Arial"/>
          <w:color w:val="000000"/>
          <w:sz w:val="24"/>
          <w:szCs w:val="24"/>
          <w:rtl w:val="0"/>
        </w:rPr>
        <w:t xml:space="preserve">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rsidR="00000000" w:rsidDel="00000000" w:rsidP="00000000" w:rsidRDefault="00000000" w:rsidRPr="00000000" w14:paraId="00000081">
      <w:pPr>
        <w:numPr>
          <w:ilvl w:val="3"/>
          <w:numId w:val="3"/>
        </w:numPr>
        <w:pBdr>
          <w:top w:space="0" w:sz="0" w:val="nil"/>
          <w:left w:space="0" w:sz="0" w:val="nil"/>
          <w:bottom w:space="0" w:sz="0" w:val="nil"/>
          <w:right w:space="0" w:sz="0" w:val="nil"/>
          <w:between w:space="0" w:sz="0" w:val="nil"/>
        </w:pBdr>
        <w:tabs>
          <w:tab w:val="left" w:leader="none" w:pos="720"/>
          <w:tab w:val="left" w:leader="none" w:pos="1418"/>
        </w:tabs>
        <w:spacing w:after="120" w:before="12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involve or could reasonably be considered to involve CNI;</w:t>
      </w:r>
    </w:p>
    <w:p w:rsidR="00000000" w:rsidDel="00000000" w:rsidP="00000000" w:rsidRDefault="00000000" w:rsidRPr="00000000" w14:paraId="00000082">
      <w:pPr>
        <w:numPr>
          <w:ilvl w:val="1"/>
          <w:numId w:val="3"/>
        </w:numPr>
        <w:pBdr>
          <w:top w:space="0" w:sz="0" w:val="nil"/>
          <w:left w:space="0" w:sz="0" w:val="nil"/>
          <w:bottom w:space="0" w:sz="0" w:val="nil"/>
          <w:right w:space="0" w:sz="0" w:val="nil"/>
          <w:between w:space="0" w:sz="0" w:val="nil"/>
        </w:pBdr>
        <w:spacing w:after="120" w:before="120" w:lineRule="auto"/>
        <w:ind w:left="567"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Appropriate Authority with a copy of the latest version of each underlying </w:t>
      </w:r>
      <w:r w:rsidDel="00000000" w:rsidR="00000000" w:rsidRPr="00000000">
        <w:rPr>
          <w:rFonts w:ascii="Arial" w:cs="Arial" w:eastAsia="Arial" w:hAnsi="Arial"/>
          <w:color w:val="000000"/>
          <w:sz w:val="24"/>
          <w:szCs w:val="24"/>
          <w:rtl w:val="0"/>
        </w:rPr>
        <w:t xml:space="preserve">contract</w:t>
      </w:r>
      <w:r w:rsidDel="00000000" w:rsidR="00000000" w:rsidRPr="00000000">
        <w:rPr>
          <w:rFonts w:ascii="Arial" w:cs="Arial" w:eastAsia="Arial" w:hAnsi="Arial"/>
          <w:sz w:val="24"/>
          <w:szCs w:val="24"/>
          <w:rtl w:val="0"/>
        </w:rPr>
        <w:t xml:space="preserve"> worth more than £5m per contract year and their related key sub-contracts, which shall be included as embedded documents within the CRP Information or via a directly accessible link. </w:t>
      </w:r>
    </w:p>
    <w:p w:rsidR="00000000" w:rsidDel="00000000" w:rsidP="00000000" w:rsidRDefault="00000000" w:rsidRPr="00000000" w14:paraId="00000083">
      <w:pPr>
        <w:ind w:firstLine="1418"/>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4">
      <w:pPr>
        <w:ind w:hanging="1134"/>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CORPORATE RESOLVABILITY ASSESSMENT (STRUCTURAL REVIEW)</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85">
      <w:pPr>
        <w:numPr>
          <w:ilvl w:val="0"/>
          <w:numId w:val="2"/>
        </w:numPr>
        <w:pBdr>
          <w:top w:space="0" w:sz="0" w:val="nil"/>
          <w:left w:space="0" w:sz="0" w:val="nil"/>
          <w:bottom w:space="0" w:sz="0" w:val="nil"/>
          <w:right w:space="0" w:sz="0" w:val="nil"/>
          <w:between w:space="0" w:sz="0" w:val="nil"/>
        </w:pBdr>
        <w:spacing w:after="120" w:before="120" w:lineRule="auto"/>
        <w:ind w:left="567" w:hanging="567"/>
        <w:rPr>
          <w:rFonts w:ascii="Arial" w:cs="Arial" w:eastAsia="Arial" w:hAnsi="Arial"/>
          <w:color w:val="000000"/>
          <w:sz w:val="24"/>
          <w:szCs w:val="24"/>
        </w:rPr>
      </w:pPr>
      <w:bookmarkStart w:colFirst="0" w:colLast="0" w:name="_3dy6vkm" w:id="6"/>
      <w:bookmarkEnd w:id="6"/>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86">
      <w:pPr>
        <w:numPr>
          <w:ilvl w:val="1"/>
          <w:numId w:val="2"/>
        </w:numPr>
        <w:pBdr>
          <w:top w:space="0" w:sz="0" w:val="nil"/>
          <w:left w:space="0" w:sz="0" w:val="nil"/>
          <w:bottom w:space="0" w:sz="0" w:val="nil"/>
          <w:right w:space="0" w:sz="0" w:val="nil"/>
          <w:between w:space="0" w:sz="0" w:val="nil"/>
        </w:pBdr>
        <w:spacing w:after="120" w:before="12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sufficient information to allow the Appropriate Authority to understand the implications on the Supplier Group’s UK Public Sector Business and CNI agreements listed pursuant to Annex 1 if the Supplier or another member of the Supplier Group is subject to an Insolvency Event;</w:t>
      </w:r>
    </w:p>
    <w:p w:rsidR="00000000" w:rsidDel="00000000" w:rsidP="00000000" w:rsidRDefault="00000000" w:rsidRPr="00000000" w14:paraId="00000087">
      <w:pPr>
        <w:numPr>
          <w:ilvl w:val="1"/>
          <w:numId w:val="2"/>
        </w:numPr>
        <w:pBdr>
          <w:top w:space="0" w:sz="0" w:val="nil"/>
          <w:left w:space="0" w:sz="0" w:val="nil"/>
          <w:bottom w:space="0" w:sz="0" w:val="nil"/>
          <w:right w:space="0" w:sz="0" w:val="nil"/>
          <w:between w:space="0" w:sz="0" w:val="nil"/>
        </w:pBdr>
        <w:spacing w:after="120" w:before="12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088">
      <w:pPr>
        <w:numPr>
          <w:ilvl w:val="1"/>
          <w:numId w:val="2"/>
        </w:numPr>
        <w:pBdr>
          <w:top w:space="0" w:sz="0" w:val="nil"/>
          <w:left w:space="0" w:sz="0" w:val="nil"/>
          <w:bottom w:space="0" w:sz="0" w:val="nil"/>
          <w:right w:space="0" w:sz="0" w:val="nil"/>
          <w:between w:space="0" w:sz="0" w:val="nil"/>
        </w:pBdr>
        <w:spacing w:after="120" w:before="12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full details of the importance of each member of the Supplier Group to the Supplier Group’s UK Public Sector Business and CNI agreements listed pursuant to Annex 1 and the dependencies between each.</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before="100" w:lineRule="auto"/>
        <w:ind w:left="720" w:firstLine="0"/>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300" w:before="100" w:lineRule="auto"/>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ANNEX 3: FINANCIAL INFORMATION AND COMMENTARY</w:t>
      </w:r>
    </w:p>
    <w:p w:rsidR="00000000" w:rsidDel="00000000" w:rsidP="00000000" w:rsidRDefault="00000000" w:rsidRPr="00000000" w14:paraId="0000008B">
      <w:pPr>
        <w:numPr>
          <w:ilvl w:val="0"/>
          <w:numId w:val="4"/>
        </w:numPr>
        <w:pBdr>
          <w:top w:space="0" w:sz="0" w:val="nil"/>
          <w:left w:space="0" w:sz="0" w:val="nil"/>
          <w:bottom w:space="0" w:sz="0" w:val="nil"/>
          <w:right w:space="0" w:sz="0" w:val="nil"/>
          <w:between w:space="0" w:sz="0" w:val="nil"/>
        </w:pBdr>
        <w:spacing w:after="120" w:before="12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8C">
      <w:pPr>
        <w:numPr>
          <w:ilvl w:val="1"/>
          <w:numId w:val="4"/>
        </w:numPr>
        <w:pBdr>
          <w:top w:space="0" w:sz="0" w:val="nil"/>
          <w:left w:space="0" w:sz="0" w:val="nil"/>
          <w:bottom w:space="0" w:sz="0" w:val="nil"/>
          <w:right w:space="0" w:sz="0" w:val="nil"/>
          <w:between w:space="0" w:sz="0" w:val="nil"/>
        </w:pBdr>
        <w:spacing w:after="120" w:before="12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p>
    <w:p w:rsidR="00000000" w:rsidDel="00000000" w:rsidP="00000000" w:rsidRDefault="00000000" w:rsidRPr="00000000" w14:paraId="0000008D">
      <w:pPr>
        <w:numPr>
          <w:ilvl w:val="1"/>
          <w:numId w:val="4"/>
        </w:numPr>
        <w:pBdr>
          <w:top w:space="0" w:sz="0" w:val="nil"/>
          <w:left w:space="0" w:sz="0" w:val="nil"/>
          <w:bottom w:space="0" w:sz="0" w:val="nil"/>
          <w:right w:space="0" w:sz="0" w:val="nil"/>
          <w:between w:space="0" w:sz="0" w:val="nil"/>
        </w:pBdr>
        <w:spacing w:after="120" w:before="12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information is presented in a simple, effective and easily understood manner.</w:t>
      </w:r>
    </w:p>
    <w:p w:rsidR="00000000" w:rsidDel="00000000" w:rsidP="00000000" w:rsidRDefault="00000000" w:rsidRPr="00000000" w14:paraId="0000008E">
      <w:pPr>
        <w:numPr>
          <w:ilvl w:val="1"/>
          <w:numId w:val="4"/>
        </w:numPr>
        <w:pBdr>
          <w:top w:space="0" w:sz="0" w:val="nil"/>
          <w:left w:space="0" w:sz="0" w:val="nil"/>
          <w:bottom w:space="0" w:sz="0" w:val="nil"/>
          <w:right w:space="0" w:sz="0" w:val="nil"/>
          <w:between w:space="0" w:sz="0" w:val="nil"/>
        </w:pBdr>
        <w:spacing w:after="120" w:before="12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p>
    <w:p w:rsidR="00000000" w:rsidDel="00000000" w:rsidP="00000000" w:rsidRDefault="00000000" w:rsidRPr="00000000" w14:paraId="0000008F">
      <w:pPr>
        <w:ind w:firstLine="1418"/>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90">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1">
      <w:pPr>
        <w:rPr>
          <w:rFonts w:ascii="Arial" w:cs="Arial" w:eastAsia="Arial" w:hAnsi="Arial"/>
          <w:sz w:val="24"/>
          <w:szCs w:val="24"/>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tabs>
        <w:tab w:val="center" w:leader="none" w:pos="4513"/>
        <w:tab w:val="right" w:leader="none" w:pos="9026"/>
      </w:tabs>
      <w:spacing w:after="0" w:lineRule="auto"/>
      <w:rPr>
        <w:rFonts w:ascii="Arial" w:cs="Arial" w:eastAsia="Arial" w:hAnsi="Arial"/>
        <w:sz w:val="20"/>
        <w:szCs w:val="20"/>
      </w:rPr>
    </w:pPr>
    <w:bookmarkStart w:colFirst="0" w:colLast="0" w:name="_1t3h5sf" w:id="7"/>
    <w:bookmarkEnd w:id="7"/>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98">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9">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4d34og8" w:id="8"/>
    <w:bookmarkEnd w:id="8"/>
    <w:r w:rsidDel="00000000" w:rsidR="00000000" w:rsidRPr="00000000">
      <w:rPr>
        <w:rtl w:val="0"/>
      </w:rPr>
    </w:r>
  </w:p>
  <w:p w:rsidR="00000000" w:rsidDel="00000000" w:rsidP="00000000" w:rsidRDefault="00000000" w:rsidRPr="00000000" w14:paraId="0000009A">
    <w:pPr>
      <w:spacing w:after="0" w:lineRule="auto"/>
      <w:rPr/>
    </w:pPr>
    <w:r w:rsidDel="00000000" w:rsidR="00000000" w:rsidRPr="00000000">
      <w:rPr>
        <w:rtl w:val="0"/>
      </w:rPr>
      <w:t xml:space="preserve">78555715.778555715.778555715.778555715.7</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9C">
    <w:pPr>
      <w:tabs>
        <w:tab w:val="center" w:leader="none" w:pos="4513"/>
        <w:tab w:val="right" w:leader="none" w:pos="9026"/>
      </w:tabs>
      <w:spacing w:after="0" w:line="240" w:lineRule="auto"/>
      <w:rPr/>
    </w:pPr>
    <w:r w:rsidDel="00000000" w:rsidR="00000000" w:rsidRPr="00000000">
      <w:rPr>
        <w:rtl w:val="0"/>
      </w:rPr>
      <w:t xml:space="preserve">78555715.778555715.778555715.778555715.7</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9E">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9F">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0">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p w:rsidR="00000000" w:rsidDel="00000000" w:rsidP="00000000" w:rsidRDefault="00000000" w:rsidRPr="00000000" w14:paraId="000000A1">
    <w:pPr>
      <w:spacing w:after="0" w:lineRule="auto"/>
      <w:rPr/>
    </w:pPr>
    <w:r w:rsidDel="00000000" w:rsidR="00000000" w:rsidRPr="00000000">
      <w:rPr>
        <w:rtl w:val="0"/>
      </w:rPr>
      <w:t xml:space="preserve">78555715.778555715.778555715.778555715.7</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93">
    <w:pP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4">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Framework Schedule 8 (Corporate Social Responsibility)</w:t>
    </w:r>
  </w:p>
  <w:p w:rsidR="00000000" w:rsidDel="00000000" w:rsidP="00000000" w:rsidRDefault="00000000" w:rsidRPr="00000000" w14:paraId="00000095">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6">
    <w:lvl w:ilvl="0">
      <w:start w:val="1"/>
      <w:numFmt w:val="decimal"/>
      <w:lvlText w:val="%1."/>
      <w:lvlJc w:val="left"/>
      <w:pPr>
        <w:ind w:left="360" w:hanging="360"/>
      </w:pPr>
      <w:rPr/>
    </w:lvl>
    <w:lvl w:ilvl="1">
      <w:start w:val="1"/>
      <w:numFmt w:val="decimal"/>
      <w:lvlText w:val="%1.%2."/>
      <w:lvlJc w:val="left"/>
      <w:pPr>
        <w:ind w:left="792" w:hanging="432"/>
      </w:pPr>
      <w:rPr>
        <w:b w:val="0"/>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8">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9">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mailto:resolution.planning@cabinetoffice.gov.uk" TargetMode="Externa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